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904B" w14:textId="150BD46D" w:rsidR="00760675" w:rsidRPr="00760675" w:rsidRDefault="00760675" w:rsidP="00185471">
      <w:pPr>
        <w:numPr>
          <w:ilvl w:val="0"/>
          <w:numId w:val="1"/>
        </w:numPr>
        <w:tabs>
          <w:tab w:val="clear" w:pos="720"/>
        </w:tabs>
        <w:spacing w:before="220"/>
        <w:ind w:left="360" w:hanging="357"/>
        <w:jc w:val="both"/>
        <w:rPr>
          <w:rFonts w:ascii="Arial" w:hAnsi="Arial" w:cs="Arial"/>
          <w:bCs/>
          <w:spacing w:val="-3"/>
          <w:sz w:val="22"/>
          <w:szCs w:val="22"/>
        </w:rPr>
      </w:pPr>
      <w:r w:rsidRPr="00760675">
        <w:rPr>
          <w:rFonts w:ascii="Arial" w:hAnsi="Arial" w:cs="Arial"/>
          <w:bCs/>
          <w:spacing w:val="-3"/>
          <w:sz w:val="22"/>
          <w:szCs w:val="22"/>
        </w:rPr>
        <w:t>On 17 November 2021, the Legislative Assembly established an inquiry into the provision of primary, allied and private health care, aged care and National Disability Insurance Scheme (NDIS) care services and its impact on the Queensland public health system</w:t>
      </w:r>
      <w:r w:rsidR="009B3266">
        <w:rPr>
          <w:rFonts w:ascii="Arial" w:hAnsi="Arial" w:cs="Arial"/>
          <w:bCs/>
          <w:spacing w:val="-3"/>
          <w:sz w:val="22"/>
          <w:szCs w:val="22"/>
        </w:rPr>
        <w:t xml:space="preserve"> (the Inquiry)</w:t>
      </w:r>
      <w:r w:rsidRPr="00760675">
        <w:rPr>
          <w:rFonts w:ascii="Arial" w:hAnsi="Arial" w:cs="Arial"/>
          <w:bCs/>
          <w:spacing w:val="-3"/>
          <w:sz w:val="22"/>
          <w:szCs w:val="22"/>
        </w:rPr>
        <w:t>, to be undertaken by the Health and Environment Committee (the Committee).</w:t>
      </w:r>
    </w:p>
    <w:p w14:paraId="1D9D5BB3" w14:textId="049CF912" w:rsidR="00760675" w:rsidRPr="00760675" w:rsidRDefault="00760675" w:rsidP="00185471">
      <w:pPr>
        <w:numPr>
          <w:ilvl w:val="0"/>
          <w:numId w:val="1"/>
        </w:numPr>
        <w:tabs>
          <w:tab w:val="clear" w:pos="720"/>
        </w:tabs>
        <w:spacing w:before="220"/>
        <w:ind w:left="360"/>
        <w:jc w:val="both"/>
        <w:rPr>
          <w:rFonts w:ascii="Arial" w:hAnsi="Arial" w:cs="Arial"/>
          <w:bCs/>
          <w:spacing w:val="-3"/>
          <w:sz w:val="22"/>
          <w:szCs w:val="22"/>
        </w:rPr>
      </w:pPr>
      <w:r w:rsidRPr="00760675">
        <w:rPr>
          <w:rFonts w:ascii="Arial" w:hAnsi="Arial" w:cs="Arial"/>
          <w:bCs/>
          <w:spacing w:val="-3"/>
          <w:sz w:val="22"/>
          <w:szCs w:val="22"/>
        </w:rPr>
        <w:t>The Inquiry was established in response to the increasing pressures Queensland’s public hospitals and emergency departments were experiencing from the COVID-19 pandemic and deferred backlog of acute care, on top of existing population growth, demographic changes, and budgetary and health system workforce pressures.</w:t>
      </w:r>
    </w:p>
    <w:p w14:paraId="38D39C53" w14:textId="37CEB7F5" w:rsidR="00760675" w:rsidRPr="00760675" w:rsidRDefault="00760675" w:rsidP="00185471">
      <w:pPr>
        <w:numPr>
          <w:ilvl w:val="0"/>
          <w:numId w:val="1"/>
        </w:numPr>
        <w:tabs>
          <w:tab w:val="clear" w:pos="720"/>
        </w:tabs>
        <w:spacing w:before="220"/>
        <w:ind w:left="360"/>
        <w:jc w:val="both"/>
        <w:rPr>
          <w:rFonts w:ascii="Arial" w:hAnsi="Arial" w:cs="Arial"/>
          <w:bCs/>
          <w:spacing w:val="-3"/>
          <w:sz w:val="22"/>
          <w:szCs w:val="22"/>
        </w:rPr>
      </w:pPr>
      <w:r w:rsidRPr="00760675">
        <w:rPr>
          <w:rFonts w:ascii="Arial" w:hAnsi="Arial" w:cs="Arial"/>
          <w:bCs/>
          <w:spacing w:val="-3"/>
          <w:sz w:val="22"/>
          <w:szCs w:val="22"/>
        </w:rPr>
        <w:t xml:space="preserve">On 8 April 2022, the Committee tabled </w:t>
      </w:r>
      <w:r w:rsidRPr="009B3266">
        <w:rPr>
          <w:rFonts w:ascii="Arial" w:hAnsi="Arial" w:cs="Arial"/>
          <w:bCs/>
          <w:i/>
          <w:iCs/>
          <w:spacing w:val="-3"/>
          <w:sz w:val="22"/>
          <w:szCs w:val="22"/>
        </w:rPr>
        <w:t xml:space="preserve">Report No. 18, 57th Parliament (April 2022) </w:t>
      </w:r>
      <w:r w:rsidRPr="00760675">
        <w:rPr>
          <w:rFonts w:ascii="Arial" w:hAnsi="Arial" w:cs="Arial"/>
          <w:bCs/>
          <w:spacing w:val="-3"/>
          <w:sz w:val="22"/>
          <w:szCs w:val="22"/>
        </w:rPr>
        <w:t xml:space="preserve">– </w:t>
      </w:r>
      <w:r w:rsidRPr="00760675">
        <w:rPr>
          <w:rFonts w:ascii="Arial" w:hAnsi="Arial" w:cs="Arial"/>
          <w:bCs/>
          <w:i/>
          <w:iCs/>
          <w:spacing w:val="-3"/>
          <w:sz w:val="22"/>
          <w:szCs w:val="22"/>
        </w:rPr>
        <w:t>Inquiry into the provision of primary, allied and private health care, aged care and NDIS care services and its impact on the Queensland public health system</w:t>
      </w:r>
      <w:r w:rsidRPr="00760675">
        <w:rPr>
          <w:rFonts w:ascii="Arial" w:hAnsi="Arial" w:cs="Arial"/>
          <w:bCs/>
          <w:spacing w:val="-3"/>
          <w:sz w:val="22"/>
          <w:szCs w:val="22"/>
        </w:rPr>
        <w:t xml:space="preserve"> (the Report), which contains 40 recommendations directed to the Australian and Queensland Governments. While most of the recommendations are directed to the Australian Government (26 recommendations), 10 recommendations require joint action from the Australian and Queensland Governments, and four recommendations are directed solely to the Queensland Government.  The recommendations, and the Queensland Government positions regarding each, are detailed in the Queensland Government’s Final Response</w:t>
      </w:r>
      <w:r>
        <w:rPr>
          <w:rFonts w:ascii="Arial" w:hAnsi="Arial" w:cs="Arial"/>
          <w:bCs/>
          <w:spacing w:val="-3"/>
          <w:sz w:val="22"/>
          <w:szCs w:val="22"/>
        </w:rPr>
        <w:t xml:space="preserve"> to the Report</w:t>
      </w:r>
      <w:r w:rsidRPr="00760675">
        <w:rPr>
          <w:rFonts w:ascii="Arial" w:hAnsi="Arial" w:cs="Arial"/>
          <w:bCs/>
          <w:spacing w:val="-3"/>
          <w:sz w:val="22"/>
          <w:szCs w:val="22"/>
        </w:rPr>
        <w:t>.</w:t>
      </w:r>
    </w:p>
    <w:p w14:paraId="2920DBC5" w14:textId="5680551A" w:rsidR="00760675" w:rsidRPr="00760675" w:rsidRDefault="00760675" w:rsidP="00185471">
      <w:pPr>
        <w:numPr>
          <w:ilvl w:val="0"/>
          <w:numId w:val="1"/>
        </w:numPr>
        <w:tabs>
          <w:tab w:val="clear" w:pos="720"/>
        </w:tabs>
        <w:spacing w:before="220"/>
        <w:ind w:left="360"/>
        <w:jc w:val="both"/>
        <w:rPr>
          <w:rFonts w:ascii="Arial" w:hAnsi="Arial" w:cs="Arial"/>
          <w:bCs/>
          <w:spacing w:val="-3"/>
          <w:sz w:val="22"/>
          <w:szCs w:val="22"/>
        </w:rPr>
      </w:pPr>
      <w:r w:rsidRPr="00760675">
        <w:rPr>
          <w:rFonts w:ascii="Arial" w:hAnsi="Arial" w:cs="Arial"/>
          <w:bCs/>
          <w:spacing w:val="-3"/>
          <w:sz w:val="22"/>
          <w:szCs w:val="22"/>
        </w:rPr>
        <w:t>The Report’s recommendations are broad and include funding arrangements for public hospitals, primary and allied health care, including the Medicare Benefits Schedule (MBS), interfaces between public hospitals and the aged care and NDIS systems, training, attraction and retention of health, aged care and NDIS workforces, particularly in regional, rural and remote areas, and increased investment in prevention and early intervention.</w:t>
      </w:r>
    </w:p>
    <w:p w14:paraId="6C9BD035" w14:textId="1073FC56" w:rsidR="00760675" w:rsidRPr="00760675" w:rsidRDefault="00760675" w:rsidP="00185471">
      <w:pPr>
        <w:numPr>
          <w:ilvl w:val="0"/>
          <w:numId w:val="1"/>
        </w:numPr>
        <w:tabs>
          <w:tab w:val="clear" w:pos="720"/>
        </w:tabs>
        <w:spacing w:before="220"/>
        <w:ind w:left="360"/>
        <w:jc w:val="both"/>
        <w:rPr>
          <w:rFonts w:ascii="Arial" w:hAnsi="Arial" w:cs="Arial"/>
          <w:bCs/>
          <w:spacing w:val="-3"/>
          <w:sz w:val="22"/>
          <w:szCs w:val="22"/>
        </w:rPr>
      </w:pPr>
      <w:r w:rsidRPr="00760675">
        <w:rPr>
          <w:rFonts w:ascii="Arial" w:hAnsi="Arial" w:cs="Arial"/>
          <w:bCs/>
          <w:spacing w:val="-3"/>
          <w:sz w:val="22"/>
          <w:szCs w:val="22"/>
        </w:rPr>
        <w:t xml:space="preserve">On 11 May 2022, the Queensland Government’s Interim Response to the Report was tabled in the Legislative Assembly. It stated the Queensland Government’s in-principle support for all the recommendations made in the Report. </w:t>
      </w:r>
    </w:p>
    <w:p w14:paraId="50E8B219" w14:textId="299B7AE0" w:rsidR="00760675" w:rsidRDefault="00760675" w:rsidP="00185471">
      <w:pPr>
        <w:numPr>
          <w:ilvl w:val="0"/>
          <w:numId w:val="1"/>
        </w:numPr>
        <w:tabs>
          <w:tab w:val="clear" w:pos="720"/>
          <w:tab w:val="num" w:pos="360"/>
        </w:tabs>
        <w:spacing w:before="220"/>
        <w:ind w:left="360"/>
        <w:jc w:val="both"/>
        <w:rPr>
          <w:rFonts w:ascii="Arial" w:hAnsi="Arial" w:cs="Arial"/>
          <w:bCs/>
          <w:spacing w:val="-3"/>
          <w:sz w:val="22"/>
          <w:szCs w:val="22"/>
        </w:rPr>
      </w:pPr>
      <w:r w:rsidRPr="00760675">
        <w:rPr>
          <w:rFonts w:ascii="Arial" w:hAnsi="Arial" w:cs="Arial"/>
          <w:bCs/>
          <w:spacing w:val="-3"/>
          <w:sz w:val="22"/>
          <w:szCs w:val="22"/>
        </w:rPr>
        <w:t xml:space="preserve">The Final Response updates the Interim Response, providing support for 36 of the recommendations, partial support for one recommendation and in-principle support for three recommendations. The Final Response includes additional detail </w:t>
      </w:r>
      <w:r>
        <w:rPr>
          <w:rFonts w:ascii="Arial" w:hAnsi="Arial" w:cs="Arial"/>
          <w:bCs/>
          <w:spacing w:val="-3"/>
          <w:sz w:val="22"/>
          <w:szCs w:val="22"/>
        </w:rPr>
        <w:t xml:space="preserve">in relation to </w:t>
      </w:r>
      <w:r w:rsidRPr="00760675">
        <w:rPr>
          <w:rFonts w:ascii="Arial" w:hAnsi="Arial" w:cs="Arial"/>
          <w:bCs/>
          <w:spacing w:val="-3"/>
          <w:sz w:val="22"/>
          <w:szCs w:val="22"/>
        </w:rPr>
        <w:t>the Queensland Government’s positions.</w:t>
      </w:r>
    </w:p>
    <w:p w14:paraId="3BAE82BA" w14:textId="77777777" w:rsidR="00E04B53" w:rsidRDefault="00280DCA" w:rsidP="00185471">
      <w:pPr>
        <w:numPr>
          <w:ilvl w:val="0"/>
          <w:numId w:val="1"/>
        </w:numPr>
        <w:tabs>
          <w:tab w:val="clear" w:pos="720"/>
          <w:tab w:val="num" w:pos="360"/>
        </w:tabs>
        <w:spacing w:before="220"/>
        <w:ind w:left="360"/>
        <w:jc w:val="both"/>
        <w:rPr>
          <w:rFonts w:ascii="Arial" w:hAnsi="Arial" w:cs="Arial"/>
          <w:bCs/>
          <w:spacing w:val="-3"/>
          <w:sz w:val="22"/>
          <w:szCs w:val="22"/>
        </w:rPr>
      </w:pPr>
      <w:r w:rsidRPr="008F44CD">
        <w:rPr>
          <w:rFonts w:ascii="Arial" w:hAnsi="Arial" w:cs="Arial"/>
          <w:sz w:val="22"/>
          <w:szCs w:val="22"/>
          <w:u w:val="single"/>
        </w:rPr>
        <w:t>Cabinet approved</w:t>
      </w:r>
      <w:r w:rsidR="00760675">
        <w:rPr>
          <w:rFonts w:ascii="Arial" w:hAnsi="Arial" w:cs="Arial"/>
          <w:bCs/>
          <w:spacing w:val="-3"/>
          <w:sz w:val="22"/>
          <w:szCs w:val="22"/>
        </w:rPr>
        <w:t xml:space="preserve"> </w:t>
      </w:r>
      <w:r w:rsidR="00760675" w:rsidRPr="00760675">
        <w:rPr>
          <w:rFonts w:ascii="Arial" w:hAnsi="Arial" w:cs="Arial"/>
          <w:sz w:val="22"/>
          <w:szCs w:val="22"/>
        </w:rPr>
        <w:t xml:space="preserve">the Queensland Government Final Response to the Health and Environment Committee </w:t>
      </w:r>
      <w:r w:rsidR="00760675" w:rsidRPr="0040737D">
        <w:rPr>
          <w:rFonts w:ascii="Arial" w:hAnsi="Arial" w:cs="Arial"/>
          <w:i/>
          <w:iCs/>
          <w:sz w:val="22"/>
          <w:szCs w:val="22"/>
        </w:rPr>
        <w:t>Report No. 18, 57th Parliament (April 2022) –</w:t>
      </w:r>
      <w:r w:rsidR="00760675" w:rsidRPr="00760675">
        <w:rPr>
          <w:rFonts w:ascii="Arial" w:hAnsi="Arial" w:cs="Arial"/>
          <w:sz w:val="22"/>
          <w:szCs w:val="22"/>
        </w:rPr>
        <w:t xml:space="preserve"> </w:t>
      </w:r>
      <w:r w:rsidR="00760675" w:rsidRPr="00760675">
        <w:rPr>
          <w:rFonts w:ascii="Arial" w:hAnsi="Arial" w:cs="Arial"/>
          <w:i/>
          <w:iCs/>
          <w:sz w:val="22"/>
          <w:szCs w:val="22"/>
        </w:rPr>
        <w:t>Inquiry into the provision of primary, allied and private health care, aged care and NDIS care services and its impact on the Queensland public health system</w:t>
      </w:r>
      <w:r w:rsidR="00760675">
        <w:rPr>
          <w:rFonts w:ascii="Arial" w:hAnsi="Arial" w:cs="Arial"/>
          <w:sz w:val="22"/>
          <w:szCs w:val="22"/>
        </w:rPr>
        <w:t>.</w:t>
      </w:r>
    </w:p>
    <w:p w14:paraId="63C87EF2" w14:textId="138A1BE1" w:rsidR="00E04B53" w:rsidRPr="00E04B53" w:rsidRDefault="00E04B53" w:rsidP="00185471">
      <w:pPr>
        <w:numPr>
          <w:ilvl w:val="0"/>
          <w:numId w:val="1"/>
        </w:numPr>
        <w:tabs>
          <w:tab w:val="clear" w:pos="720"/>
          <w:tab w:val="num" w:pos="360"/>
        </w:tabs>
        <w:spacing w:before="220"/>
        <w:ind w:left="360"/>
        <w:jc w:val="both"/>
        <w:rPr>
          <w:rFonts w:ascii="Arial" w:hAnsi="Arial" w:cs="Arial"/>
          <w:bCs/>
          <w:spacing w:val="-3"/>
          <w:sz w:val="22"/>
          <w:szCs w:val="22"/>
        </w:rPr>
      </w:pPr>
      <w:r w:rsidRPr="00E04B53">
        <w:rPr>
          <w:rFonts w:ascii="Arial" w:eastAsia="Arial" w:hAnsi="Arial" w:cs="Arial"/>
          <w:color w:val="auto"/>
          <w:sz w:val="22"/>
          <w:szCs w:val="22"/>
          <w:u w:val="single"/>
          <w:lang w:val="en-US" w:eastAsia="en-US"/>
        </w:rPr>
        <w:t>Cabinet noted</w:t>
      </w:r>
      <w:r w:rsidRPr="00E04B53">
        <w:rPr>
          <w:rFonts w:ascii="Arial" w:eastAsia="Arial" w:hAnsi="Arial" w:cs="Arial"/>
          <w:color w:val="auto"/>
          <w:sz w:val="22"/>
          <w:szCs w:val="22"/>
          <w:lang w:val="en-US" w:eastAsia="en-US"/>
        </w:rPr>
        <w:t xml:space="preserve"> that the Minister for Health and Ambulance Services table the Queensland Government’s Final Response to the Report in the Legislative Assembly.</w:t>
      </w:r>
    </w:p>
    <w:p w14:paraId="286F1446" w14:textId="1AE03F10" w:rsidR="00D6589B" w:rsidRPr="001F538D" w:rsidRDefault="00D6589B" w:rsidP="00185471">
      <w:pPr>
        <w:keepNext/>
        <w:numPr>
          <w:ilvl w:val="0"/>
          <w:numId w:val="1"/>
        </w:numPr>
        <w:tabs>
          <w:tab w:val="clear" w:pos="720"/>
          <w:tab w:val="num" w:pos="360"/>
        </w:tabs>
        <w:spacing w:before="240"/>
        <w:ind w:left="360"/>
        <w:jc w:val="both"/>
        <w:rPr>
          <w:rFonts w:ascii="Arial" w:hAnsi="Arial" w:cs="Arial"/>
          <w:sz w:val="22"/>
          <w:szCs w:val="22"/>
        </w:rPr>
      </w:pPr>
      <w:r w:rsidRPr="00C07656">
        <w:rPr>
          <w:rFonts w:ascii="Arial" w:hAnsi="Arial" w:cs="Arial"/>
          <w:i/>
          <w:sz w:val="22"/>
          <w:szCs w:val="22"/>
          <w:u w:val="single"/>
        </w:rPr>
        <w:t>Attachments</w:t>
      </w:r>
      <w:r w:rsidR="001F538D">
        <w:rPr>
          <w:rFonts w:ascii="Arial" w:hAnsi="Arial" w:cs="Arial"/>
          <w:iCs/>
          <w:sz w:val="22"/>
          <w:szCs w:val="22"/>
        </w:rPr>
        <w:t>:</w:t>
      </w:r>
    </w:p>
    <w:p w14:paraId="32D9ACEB" w14:textId="44DC9BFB" w:rsidR="00732E22" w:rsidRPr="008624FC" w:rsidRDefault="00816DAD" w:rsidP="00185471">
      <w:pPr>
        <w:pStyle w:val="ListParagraph"/>
        <w:numPr>
          <w:ilvl w:val="0"/>
          <w:numId w:val="2"/>
        </w:numPr>
        <w:spacing w:before="120"/>
        <w:ind w:left="821" w:hanging="461"/>
        <w:jc w:val="both"/>
        <w:rPr>
          <w:rFonts w:ascii="Arial" w:hAnsi="Arial" w:cs="Arial"/>
          <w:sz w:val="22"/>
          <w:szCs w:val="22"/>
        </w:rPr>
      </w:pPr>
      <w:hyperlink r:id="rId10" w:history="1">
        <w:r w:rsidR="00760675" w:rsidRPr="0093701B">
          <w:rPr>
            <w:rStyle w:val="Hyperlink"/>
            <w:rFonts w:ascii="Arial" w:hAnsi="Arial" w:cs="Arial"/>
            <w:sz w:val="22"/>
            <w:szCs w:val="22"/>
          </w:rPr>
          <w:t xml:space="preserve">Queensland Government’s Final Response to the Health and Environment Committee </w:t>
        </w:r>
        <w:r w:rsidR="00760675" w:rsidRPr="0093701B">
          <w:rPr>
            <w:rStyle w:val="Hyperlink"/>
            <w:rFonts w:ascii="Arial" w:hAnsi="Arial" w:cs="Arial"/>
            <w:i/>
            <w:iCs/>
            <w:sz w:val="22"/>
            <w:szCs w:val="22"/>
          </w:rPr>
          <w:t>Report No. 18, 57th Parliament</w:t>
        </w:r>
        <w:r w:rsidR="00891E52" w:rsidRPr="0093701B">
          <w:rPr>
            <w:rStyle w:val="Hyperlink"/>
            <w:rFonts w:ascii="Arial" w:hAnsi="Arial" w:cs="Arial"/>
            <w:i/>
            <w:iCs/>
            <w:sz w:val="22"/>
            <w:szCs w:val="22"/>
          </w:rPr>
          <w:t xml:space="preserve"> (April 2022) –</w:t>
        </w:r>
        <w:r w:rsidR="00760675" w:rsidRPr="0093701B">
          <w:rPr>
            <w:rStyle w:val="Hyperlink"/>
            <w:rFonts w:ascii="Arial" w:hAnsi="Arial" w:cs="Arial"/>
            <w:i/>
            <w:iCs/>
            <w:sz w:val="22"/>
            <w:szCs w:val="22"/>
          </w:rPr>
          <w:t xml:space="preserve"> Inquiry into the provision of primary, allied and private health care, aged care and NDIS care services and its impact on the Queensland public health system</w:t>
        </w:r>
      </w:hyperlink>
    </w:p>
    <w:sectPr w:rsidR="00732E22" w:rsidRPr="008624FC" w:rsidSect="00241F5A">
      <w:headerReference w:type="even" r:id="rId11"/>
      <w:headerReference w:type="default" r:id="rId12"/>
      <w:footerReference w:type="even" r:id="rId13"/>
      <w:footerReference w:type="default" r:id="rId14"/>
      <w:headerReference w:type="first" r:id="rId15"/>
      <w:footerReference w:type="first" r:id="rId16"/>
      <w:pgSz w:w="11906" w:h="16838" w:code="9"/>
      <w:pgMar w:top="1138" w:right="1138" w:bottom="576"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F4A3" w14:textId="77777777" w:rsidR="00241F5A" w:rsidRDefault="00241F5A" w:rsidP="00D6589B">
      <w:r>
        <w:separator/>
      </w:r>
    </w:p>
  </w:endnote>
  <w:endnote w:type="continuationSeparator" w:id="0">
    <w:p w14:paraId="76FFA2E7" w14:textId="77777777" w:rsidR="00241F5A" w:rsidRDefault="00241F5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3A6B" w14:textId="77777777" w:rsidR="00066A7A" w:rsidRDefault="0006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DC09" w14:textId="77777777" w:rsidR="00066A7A" w:rsidRDefault="00066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52A7" w14:textId="77777777" w:rsidR="00066A7A" w:rsidRDefault="0006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5BCF" w14:textId="77777777" w:rsidR="00241F5A" w:rsidRDefault="00241F5A" w:rsidP="00D6589B">
      <w:r>
        <w:separator/>
      </w:r>
    </w:p>
  </w:footnote>
  <w:footnote w:type="continuationSeparator" w:id="0">
    <w:p w14:paraId="65B5BF3B" w14:textId="77777777" w:rsidR="00241F5A" w:rsidRDefault="00241F5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3DFC" w14:textId="77777777" w:rsidR="00066A7A" w:rsidRDefault="0006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33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318F8A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008AC55" w14:textId="625C22B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B3266">
      <w:rPr>
        <w:rFonts w:ascii="Arial" w:hAnsi="Arial" w:cs="Arial"/>
        <w:b/>
        <w:color w:val="auto"/>
        <w:sz w:val="22"/>
        <w:szCs w:val="22"/>
        <w:lang w:eastAsia="en-US"/>
      </w:rPr>
      <w:t>October</w:t>
    </w:r>
    <w:r w:rsidR="00760675">
      <w:rPr>
        <w:rFonts w:ascii="Arial" w:hAnsi="Arial" w:cs="Arial"/>
        <w:b/>
        <w:color w:val="auto"/>
        <w:sz w:val="22"/>
        <w:szCs w:val="22"/>
        <w:lang w:eastAsia="en-US"/>
      </w:rPr>
      <w:t xml:space="preserve"> 2022</w:t>
    </w:r>
  </w:p>
  <w:p w14:paraId="778CD609" w14:textId="77777777" w:rsidR="00760675" w:rsidRPr="008624FC" w:rsidRDefault="00760675" w:rsidP="00066A7A">
    <w:pPr>
      <w:pStyle w:val="Header"/>
      <w:spacing w:before="120"/>
      <w:jc w:val="both"/>
      <w:rPr>
        <w:rFonts w:ascii="Arial" w:hAnsi="Arial" w:cs="Arial"/>
        <w:b/>
        <w:i/>
        <w:iCs/>
        <w:sz w:val="22"/>
        <w:szCs w:val="22"/>
        <w:u w:val="single"/>
      </w:rPr>
    </w:pPr>
    <w:r w:rsidRPr="00760675">
      <w:rPr>
        <w:rFonts w:ascii="Arial" w:hAnsi="Arial" w:cs="Arial"/>
        <w:b/>
        <w:sz w:val="22"/>
        <w:szCs w:val="22"/>
        <w:u w:val="single"/>
      </w:rPr>
      <w:t xml:space="preserve">Queensland Government’s Final Response to the Health and Environment Committee Report No. 18, 57th Parliament (April 2022) – </w:t>
    </w:r>
    <w:r w:rsidRPr="008624FC">
      <w:rPr>
        <w:rFonts w:ascii="Arial" w:hAnsi="Arial" w:cs="Arial"/>
        <w:b/>
        <w:i/>
        <w:iCs/>
        <w:sz w:val="22"/>
        <w:szCs w:val="22"/>
        <w:u w:val="single"/>
      </w:rPr>
      <w:t xml:space="preserve">Inquiry into the provision of primary, allied and private health care, aged care and NDIS care services and its impact on the Queensland public health system </w:t>
    </w:r>
  </w:p>
  <w:p w14:paraId="65AD5E89" w14:textId="067953B4" w:rsidR="00CB1501" w:rsidRDefault="00E915FA" w:rsidP="00D6589B">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60F5946B" w14:textId="77777777" w:rsidR="00CB1501" w:rsidRPr="00760675" w:rsidRDefault="00CB1501" w:rsidP="00D6589B">
    <w:pPr>
      <w:pStyle w:val="Header"/>
      <w:pBdr>
        <w:bottom w:val="single" w:sz="4" w:space="1" w:color="auto"/>
      </w:pBdr>
      <w:rPr>
        <w:sz w:val="12"/>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86FC" w14:textId="77777777" w:rsidR="00066A7A" w:rsidRDefault="00066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26D9"/>
    <w:multiLevelType w:val="hybridMultilevel"/>
    <w:tmpl w:val="2BAE3E3E"/>
    <w:lvl w:ilvl="0" w:tplc="47BC4E0E">
      <w:start w:val="1"/>
      <w:numFmt w:val="decimal"/>
      <w:lvlText w:val="%1."/>
      <w:lvlJc w:val="left"/>
      <w:pPr>
        <w:ind w:left="680" w:hanging="360"/>
      </w:pPr>
      <w:rPr>
        <w:rFonts w:ascii="Arial" w:eastAsia="Arial" w:hAnsi="Arial" w:cs="Arial" w:hint="default"/>
        <w:b w:val="0"/>
        <w:bCs w:val="0"/>
        <w:i w:val="0"/>
        <w:iCs w:val="0"/>
        <w:spacing w:val="-6"/>
        <w:w w:val="102"/>
        <w:sz w:val="22"/>
        <w:szCs w:val="22"/>
        <w:lang w:val="en-US" w:eastAsia="en-US" w:bidi="ar-SA"/>
      </w:rPr>
    </w:lvl>
    <w:lvl w:ilvl="1" w:tplc="D00271E2">
      <w:numFmt w:val="bullet"/>
      <w:lvlText w:val=""/>
      <w:lvlJc w:val="left"/>
      <w:pPr>
        <w:ind w:left="1130" w:hanging="450"/>
      </w:pPr>
      <w:rPr>
        <w:rFonts w:ascii="Symbol" w:eastAsia="Symbol" w:hAnsi="Symbol" w:cs="Symbol" w:hint="default"/>
        <w:b w:val="0"/>
        <w:bCs w:val="0"/>
        <w:i w:val="0"/>
        <w:iCs w:val="0"/>
        <w:w w:val="102"/>
        <w:sz w:val="22"/>
        <w:szCs w:val="22"/>
        <w:lang w:val="en-US" w:eastAsia="en-US" w:bidi="ar-SA"/>
      </w:rPr>
    </w:lvl>
    <w:lvl w:ilvl="2" w:tplc="7AE41F1E">
      <w:numFmt w:val="bullet"/>
      <w:lvlText w:val="•"/>
      <w:lvlJc w:val="left"/>
      <w:pPr>
        <w:ind w:left="2081" w:hanging="450"/>
      </w:pPr>
      <w:rPr>
        <w:rFonts w:hint="default"/>
        <w:lang w:val="en-US" w:eastAsia="en-US" w:bidi="ar-SA"/>
      </w:rPr>
    </w:lvl>
    <w:lvl w:ilvl="3" w:tplc="14FE9428">
      <w:numFmt w:val="bullet"/>
      <w:lvlText w:val="•"/>
      <w:lvlJc w:val="left"/>
      <w:pPr>
        <w:ind w:left="3022" w:hanging="450"/>
      </w:pPr>
      <w:rPr>
        <w:rFonts w:hint="default"/>
        <w:lang w:val="en-US" w:eastAsia="en-US" w:bidi="ar-SA"/>
      </w:rPr>
    </w:lvl>
    <w:lvl w:ilvl="4" w:tplc="26982238">
      <w:numFmt w:val="bullet"/>
      <w:lvlText w:val="•"/>
      <w:lvlJc w:val="left"/>
      <w:pPr>
        <w:ind w:left="3963" w:hanging="450"/>
      </w:pPr>
      <w:rPr>
        <w:rFonts w:hint="default"/>
        <w:lang w:val="en-US" w:eastAsia="en-US" w:bidi="ar-SA"/>
      </w:rPr>
    </w:lvl>
    <w:lvl w:ilvl="5" w:tplc="2E2EE936">
      <w:numFmt w:val="bullet"/>
      <w:lvlText w:val="•"/>
      <w:lvlJc w:val="left"/>
      <w:pPr>
        <w:ind w:left="4904" w:hanging="450"/>
      </w:pPr>
      <w:rPr>
        <w:rFonts w:hint="default"/>
        <w:lang w:val="en-US" w:eastAsia="en-US" w:bidi="ar-SA"/>
      </w:rPr>
    </w:lvl>
    <w:lvl w:ilvl="6" w:tplc="7F601560">
      <w:numFmt w:val="bullet"/>
      <w:lvlText w:val="•"/>
      <w:lvlJc w:val="left"/>
      <w:pPr>
        <w:ind w:left="5845" w:hanging="450"/>
      </w:pPr>
      <w:rPr>
        <w:rFonts w:hint="default"/>
        <w:lang w:val="en-US" w:eastAsia="en-US" w:bidi="ar-SA"/>
      </w:rPr>
    </w:lvl>
    <w:lvl w:ilvl="7" w:tplc="5940632A">
      <w:numFmt w:val="bullet"/>
      <w:lvlText w:val="•"/>
      <w:lvlJc w:val="left"/>
      <w:pPr>
        <w:ind w:left="6786" w:hanging="450"/>
      </w:pPr>
      <w:rPr>
        <w:rFonts w:hint="default"/>
        <w:lang w:val="en-US" w:eastAsia="en-US" w:bidi="ar-SA"/>
      </w:rPr>
    </w:lvl>
    <w:lvl w:ilvl="8" w:tplc="CE52A81E">
      <w:numFmt w:val="bullet"/>
      <w:lvlText w:val="•"/>
      <w:lvlJc w:val="left"/>
      <w:pPr>
        <w:ind w:left="7727" w:hanging="450"/>
      </w:pPr>
      <w:rPr>
        <w:rFonts w:hint="default"/>
        <w:lang w:val="en-US" w:eastAsia="en-US" w:bidi="ar-SA"/>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34656868">
    <w:abstractNumId w:val="2"/>
  </w:num>
  <w:num w:numId="2" w16cid:durableId="312217132">
    <w:abstractNumId w:val="1"/>
  </w:num>
  <w:num w:numId="3" w16cid:durableId="70819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02738"/>
    <w:rsid w:val="00066A7A"/>
    <w:rsid w:val="00080F8F"/>
    <w:rsid w:val="000D7FA1"/>
    <w:rsid w:val="0010384C"/>
    <w:rsid w:val="00152095"/>
    <w:rsid w:val="00174117"/>
    <w:rsid w:val="00185471"/>
    <w:rsid w:val="001F1034"/>
    <w:rsid w:val="001F538D"/>
    <w:rsid w:val="002351B9"/>
    <w:rsid w:val="00241F5A"/>
    <w:rsid w:val="00250101"/>
    <w:rsid w:val="00280DCA"/>
    <w:rsid w:val="0034156D"/>
    <w:rsid w:val="003A3BDD"/>
    <w:rsid w:val="0040737D"/>
    <w:rsid w:val="0043543B"/>
    <w:rsid w:val="00456F3E"/>
    <w:rsid w:val="00501C66"/>
    <w:rsid w:val="00550873"/>
    <w:rsid w:val="007265D0"/>
    <w:rsid w:val="00732E22"/>
    <w:rsid w:val="00741C20"/>
    <w:rsid w:val="00760675"/>
    <w:rsid w:val="007F44F4"/>
    <w:rsid w:val="00816DAD"/>
    <w:rsid w:val="008624FC"/>
    <w:rsid w:val="00891E52"/>
    <w:rsid w:val="00904077"/>
    <w:rsid w:val="0093701B"/>
    <w:rsid w:val="00937327"/>
    <w:rsid w:val="00937A4A"/>
    <w:rsid w:val="00991008"/>
    <w:rsid w:val="009B3266"/>
    <w:rsid w:val="00B95A06"/>
    <w:rsid w:val="00C55B7E"/>
    <w:rsid w:val="00C75E67"/>
    <w:rsid w:val="00CB1501"/>
    <w:rsid w:val="00CD7A50"/>
    <w:rsid w:val="00CF0D8A"/>
    <w:rsid w:val="00D54B50"/>
    <w:rsid w:val="00D6589B"/>
    <w:rsid w:val="00D953EC"/>
    <w:rsid w:val="00E04B53"/>
    <w:rsid w:val="00E915FA"/>
    <w:rsid w:val="00EC4F22"/>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760675"/>
    <w:pPr>
      <w:ind w:left="720"/>
      <w:contextualSpacing/>
    </w:pPr>
  </w:style>
  <w:style w:type="character" w:styleId="Hyperlink">
    <w:name w:val="Hyperlink"/>
    <w:basedOn w:val="DefaultParagraphFont"/>
    <w:uiPriority w:val="99"/>
    <w:unhideWhenUsed/>
    <w:rsid w:val="00EC4F22"/>
    <w:rPr>
      <w:color w:val="0563C1" w:themeColor="hyperlink"/>
      <w:u w:val="single"/>
    </w:rPr>
  </w:style>
  <w:style w:type="character" w:styleId="UnresolvedMention">
    <w:name w:val="Unresolved Mention"/>
    <w:basedOn w:val="DefaultParagraphFont"/>
    <w:uiPriority w:val="99"/>
    <w:semiHidden/>
    <w:unhideWhenUsed/>
    <w:rsid w:val="00EC4F22"/>
    <w:rPr>
      <w:color w:val="605E5C"/>
      <w:shd w:val="clear" w:color="auto" w:fill="E1DFDD"/>
    </w:rPr>
  </w:style>
  <w:style w:type="character" w:styleId="FollowedHyperlink">
    <w:name w:val="FollowedHyperlink"/>
    <w:basedOn w:val="DefaultParagraphFont"/>
    <w:uiPriority w:val="99"/>
    <w:semiHidden/>
    <w:unhideWhenUsed/>
    <w:rsid w:val="00EC4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dpcqld.sharepoint.com/sites/DPC-CABINETSERVICES/Shared%20Documents/General/Proactive%20Release/ToBeProcessed/2022/Oct/ResponseHealthCareInquiry/Attachments/Respon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3C6161A0-8845-4C52-B09D-7DDEEB36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21</TotalTime>
  <Pages>1</Pages>
  <Words>455</Words>
  <Characters>2695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3146</CharactersWithSpaces>
  <SharedDoc>false</SharedDoc>
  <HyperlinkBase>https://www.cabinet.qld.gov.au/documents/2022/Oct/ResponseHealthCareInquiry/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2022-09-01T05:27:00Z</dcterms:created>
  <dcterms:modified xsi:type="dcterms:W3CDTF">2024-07-17T05:46:00Z</dcterms:modified>
  <cp:category>Aged_Care,Disability_Services,Health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